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Obchodní vztahy - smlouvy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Vedení evidence smluv.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250/2000 Sb., - Zákon o rozpočtových pravidlech územních rozpočtů,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134/2016 Sb., - Zákon o zadávání veřejných zakázek, 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340/2015 Sb., - Zákon o zvláštních podmínkách účinnosti některých smluv, uveřejňování těchto smluv a o registru smluv (zákon o registru smluv)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Osoby, se kterými byly uzavřeny smlouvy, popřípadě objednávky s hodnotou plnění 50.000,- Kč bez DPH.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bydliště, kontaktní adresa, emial, telefon, datová schránka, bankovní spojení, IČO/DIČ, podpis, smlouva, objednávka, faktura,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Zaměstnanci úřadu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280" w:after="280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2"/>
                <w:u w:val="none"/>
                <w:em w:val="none"/>
              </w:rPr>
              <w:t>56 Smlouvy (nejsou-li ned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ílnou součástí příslušných dokumentů)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56.1 Smlouvy - všeobecně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56.2 Smlouvy - obchodní (hospodářské)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56.14 Smlouvy - majetkoprávní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56.15 Smlouvy - kolektivní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56.16 Smlouvy - ostatní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91 Veřejné zakázky, výběrové řízení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91.1 Veřejné zakázky V10</w:t>
            </w:r>
          </w:p>
          <w:p>
            <w:pPr>
              <w:pStyle w:val="Normal"/>
              <w:bidi w:val="0"/>
              <w:spacing w:before="0" w:after="20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91.2 Výběrové řízení            V10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Web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sz w:val="22"/>
                <w:szCs w:val="22"/>
              </w:rPr>
              <w:t>Papírové podklady si uchovávám jen u spisů, které osobně zpracovávám a vedu u nich celou složku. Ostatní podklady zpracovávám elektronicky a osobně nic neukládám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Elektronickou verzi smlouvy ukládám do PC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 xml:space="preserve">Registr smluv 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00000A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247</Words>
  <Characters>1491</Characters>
  <CharactersWithSpaces>1726</CharactersWithSpaces>
  <Paragraphs>31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2018-05-27T18:00:47Z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